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9</w:t>
      </w:r>
      <w:r>
        <w:tab/>
      </w:r>
      <w:r>
        <w:t>R3-2</w:t>
      </w:r>
      <w:r>
        <w:rPr>
          <w:rFonts w:hint="eastAsia" w:eastAsia="宋体"/>
          <w:lang w:val="en-US" w:eastAsia="zh-CN"/>
        </w:rPr>
        <w:t>55748</w:t>
      </w:r>
    </w:p>
    <w:bookmarkEnd w:id="0"/>
    <w:p>
      <w:pPr>
        <w:pStyle w:val="178"/>
        <w:rPr>
          <w:rFonts w:eastAsia="宋体"/>
          <w:szCs w:val="24"/>
          <w:lang w:val="en-US" w:eastAsia="zh-CN"/>
        </w:rPr>
      </w:pPr>
      <w:bookmarkStart w:id="2" w:name="_Hlk19781143"/>
      <w:r>
        <w:rPr>
          <w:rFonts w:hint="eastAsia" w:eastAsia="宋体"/>
          <w:szCs w:val="24"/>
          <w:lang w:val="en-US" w:eastAsia="zh-CN"/>
        </w:rPr>
        <w:t>Bengaluru, India, 25 - 29 August 2025</w:t>
      </w:r>
    </w:p>
    <w:bookmarkEnd w:id="2"/>
    <w:p>
      <w:pPr>
        <w:pStyle w:val="38"/>
        <w:rPr>
          <w:rFonts w:cs="Arial"/>
          <w:bCs/>
          <w:sz w:val="24"/>
        </w:rPr>
      </w:pPr>
    </w:p>
    <w:p>
      <w:pPr>
        <w:pStyle w:val="38"/>
        <w:rPr>
          <w:rFonts w:cs="Arial"/>
          <w:bCs/>
          <w:sz w:val="24"/>
        </w:rPr>
      </w:pPr>
    </w:p>
    <w:p>
      <w:pPr>
        <w:pStyle w:val="179"/>
        <w:rPr>
          <w:rFonts w:eastAsia="宋体"/>
          <w:lang w:eastAsia="zh-CN"/>
        </w:rPr>
      </w:pPr>
      <w:r>
        <w:t>Agenda Item:</w:t>
      </w:r>
      <w:r>
        <w:tab/>
      </w:r>
      <w:r>
        <w:rPr>
          <w:rFonts w:hint="eastAsia" w:eastAsia="宋体"/>
          <w:lang w:eastAsia="zh-CN"/>
        </w:rPr>
        <w:t>15.2</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ZTE Corporation, Nokia, Nokia Shanghai Bell,</w:t>
      </w:r>
      <w:r>
        <w:rPr>
          <w:rFonts w:hint="eastAsia" w:ascii="Arial" w:hAnsi="Arial" w:eastAsia="宋体" w:cs="Arial"/>
          <w:b/>
          <w:bCs/>
          <w:sz w:val="24"/>
          <w:lang w:val="en-US" w:eastAsia="zh-CN"/>
        </w:rPr>
        <w:t xml:space="preserve"> </w:t>
      </w:r>
      <w:r>
        <w:rPr>
          <w:rFonts w:ascii="Arial" w:hAnsi="Arial" w:cs="Arial"/>
          <w:b/>
          <w:bCs/>
          <w:sz w:val="24"/>
        </w:rPr>
        <w:t>Qualcomm, CATT, China Telecom, CMCC, Samsung</w:t>
      </w:r>
    </w:p>
    <w:p>
      <w:pPr>
        <w:pStyle w:val="179"/>
        <w:ind w:left="1985" w:hanging="1985"/>
        <w:rPr>
          <w:rFonts w:eastAsia="宋体"/>
          <w:lang w:eastAsia="zh-CN"/>
        </w:rPr>
      </w:pPr>
      <w:r>
        <w:t>Title:</w:t>
      </w:r>
      <w:r>
        <w:tab/>
      </w:r>
      <w:r>
        <w:rPr>
          <w:rFonts w:hint="eastAsia" w:eastAsia="宋体"/>
          <w:lang w:eastAsia="zh-CN"/>
        </w:rPr>
        <w:t>Response to R3-255514</w:t>
      </w:r>
    </w:p>
    <w:p>
      <w:pPr>
        <w:pStyle w:val="179"/>
        <w:rPr>
          <w:rFonts w:eastAsia="宋体"/>
          <w:lang w:eastAsia="zh-CN"/>
        </w:rPr>
      </w:pPr>
      <w:r>
        <w:t>Document for:</w:t>
      </w:r>
      <w:r>
        <w:tab/>
      </w:r>
      <w:r>
        <w:t>Discussion</w:t>
      </w:r>
    </w:p>
    <w:p>
      <w:pPr>
        <w:pStyle w:val="2"/>
        <w:numPr>
          <w:ilvl w:val="0"/>
          <w:numId w:val="3"/>
        </w:numPr>
        <w:overflowPunct/>
        <w:autoSpaceDE/>
        <w:autoSpaceDN/>
        <w:adjustRightInd/>
        <w:textAlignment w:val="auto"/>
        <w:rPr>
          <w:rFonts w:eastAsia="宋体"/>
          <w:lang w:val="en-US" w:eastAsia="zh-CN"/>
        </w:rPr>
      </w:pPr>
      <w:r>
        <w:rPr>
          <w:rFonts w:eastAsia="宋体"/>
          <w:lang w:val="en-US" w:eastAsia="zh-CN"/>
        </w:rPr>
        <w:t>Introductio</w:t>
      </w:r>
      <w:r>
        <w:rPr>
          <w:rFonts w:hint="eastAsia" w:eastAsia="宋体"/>
          <w:lang w:val="en-US" w:eastAsia="zh-CN"/>
        </w:rPr>
        <w:t>n</w:t>
      </w:r>
    </w:p>
    <w:p>
      <w:pPr>
        <w:rPr>
          <w:lang w:val="en-US" w:eastAsia="zh-CN"/>
        </w:rPr>
      </w:pPr>
      <w:r>
        <w:rPr>
          <w:rFonts w:hint="eastAsia"/>
          <w:lang w:val="en-US" w:eastAsia="zh-CN"/>
        </w:rPr>
        <w:t>This contribution responses to R3-255514.</w:t>
      </w:r>
    </w:p>
    <w:p>
      <w:pPr>
        <w:pStyle w:val="2"/>
        <w:overflowPunct/>
        <w:autoSpaceDE/>
        <w:autoSpaceDN/>
        <w:adjustRightInd/>
        <w:ind w:left="567" w:hanging="567"/>
        <w:textAlignment w:val="auto"/>
        <w:rPr>
          <w:rFonts w:eastAsia="宋体"/>
          <w:lang w:val="en-US"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r>
        <w:rPr>
          <w:rFonts w:hint="eastAsia" w:eastAsia="宋体"/>
          <w:lang w:val="en-US" w:eastAsia="zh-CN"/>
        </w:rPr>
        <w:t>In R3-255514[1], the issue of S&amp;F mode indication of the neighbour cells has been discussed, and the corresponding proposal is given as below.</w:t>
      </w:r>
    </w:p>
    <w:tbl>
      <w:tblPr>
        <w:tblStyle w:val="49"/>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3" w:type="dxa"/>
            <w:shd w:val="clear" w:color="auto" w:fill="auto"/>
          </w:tcPr>
          <w:p>
            <w:pPr>
              <w:pStyle w:val="182"/>
              <w:numPr>
                <w:ilvl w:val="0"/>
                <w:numId w:val="4"/>
              </w:numPr>
              <w:rPr>
                <w:lang w:eastAsia="zh-CN"/>
              </w:rPr>
            </w:pPr>
            <w:r>
              <w:rPr>
                <w:lang w:eastAsia="zh-CN"/>
              </w:rPr>
              <w:t>RAN3 to agree to introduce an OAM-provision the S&amp;</w:t>
            </w:r>
            <w:r>
              <w:rPr>
                <w:rFonts w:hint="eastAsia"/>
                <w:lang w:eastAsia="zh-CN"/>
              </w:rPr>
              <w:t>F</w:t>
            </w:r>
            <w:r>
              <w:rPr>
                <w:lang w:eastAsia="zh-CN"/>
              </w:rPr>
              <w:t xml:space="preserve"> </w:t>
            </w:r>
            <w:r>
              <w:rPr>
                <w:rFonts w:hint="eastAsia"/>
                <w:lang w:eastAsia="zh-CN"/>
              </w:rPr>
              <w:t>mode</w:t>
            </w:r>
            <w:r>
              <w:rPr>
                <w:lang w:eastAsia="zh-CN"/>
              </w:rPr>
              <w:t xml:space="preserve"> indication of the neighbour cells pending to RAN2 decision.</w:t>
            </w:r>
          </w:p>
        </w:tc>
      </w:tr>
    </w:tbl>
    <w:p>
      <w:pPr>
        <w:rPr>
          <w:lang w:val="en-US"/>
        </w:rPr>
      </w:pPr>
      <w:r>
        <w:t>The main reason from R3-255514 is to support following RAN2 WA</w:t>
      </w:r>
      <w:r>
        <w:rPr>
          <w:rFonts w:hint="eastAsia" w:eastAsia="宋体"/>
          <w:lang w:val="en-US" w:eastAsia="zh-CN"/>
        </w:rPr>
        <w:t xml:space="preserve"> reached in RAN2#130[2].</w:t>
      </w:r>
    </w:p>
    <w:p>
      <w:pPr>
        <w:spacing w:after="120"/>
        <w:rPr>
          <w:lang w:eastAsia="zh-CN"/>
        </w:rPr>
      </w:pPr>
      <w:r>
        <w:rPr>
          <w:lang w:val="en-US" w:eastAsia="zh-CN"/>
        </w:rPr>
        <mc:AlternateContent>
          <mc:Choice Requires="wps">
            <w:drawing>
              <wp:inline distT="0" distB="0" distL="0" distR="0">
                <wp:extent cx="5937250" cy="671195"/>
                <wp:effectExtent l="5080" t="4445" r="20320" b="10160"/>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937662" cy="671264"/>
                        </a:xfrm>
                        <a:prstGeom prst="rect">
                          <a:avLst/>
                        </a:prstGeom>
                        <a:solidFill>
                          <a:srgbClr val="FFFFFF"/>
                        </a:solidFill>
                        <a:ln w="9525">
                          <a:solidFill>
                            <a:srgbClr val="000000"/>
                          </a:solidFill>
                          <a:miter lim="800000"/>
                        </a:ln>
                      </wps:spPr>
                      <wps:txbx>
                        <w:txbxContent>
                          <w:p>
                            <w:pPr>
                              <w:pStyle w:val="152"/>
                              <w:tabs>
                                <w:tab w:val="left" w:pos="360"/>
                                <w:tab w:val="clear" w:pos="643"/>
                              </w:tabs>
                              <w:ind w:left="360"/>
                            </w:pPr>
                            <w:r>
                              <w:t>WA: In the neighbour cell list we introduce an indication whether the cell operates in S&amp;F mode or not (FFS if we also include the transition time). This WA can only be confirmed if we converge on the corresponding UE behaviour.</w:t>
                            </w:r>
                          </w:p>
                          <w:p>
                            <w:pPr>
                              <w:pStyle w:val="120"/>
                              <w:spacing w:after="0"/>
                              <w:rPr>
                                <w:rFonts w:ascii="Calibri" w:hAnsi="Calibri" w:cs="Calibri"/>
                                <w:b/>
                                <w:color w:val="008000"/>
                                <w:sz w:val="18"/>
                              </w:rPr>
                            </w:pPr>
                          </w:p>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52.85pt;width:467.5pt;" fillcolor="#FFFFFF" filled="t" stroked="t" coordsize="21600,21600" o:gfxdata="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jl6GdUAAAAFAQAADwAAAAAAAAABACAAAAAiAAAAZHJzL2Rv&#10;d25yZXYueG1sUEsBAhQAFAAAAAgAh07iQLDAe8o9AgAAfQQAAA4AAAAAAAAAAQAgAAAAJAEAAGRy&#10;cy9lMm9Eb2MueG1sUEsFBgAAAAAGAAYAWQEAANMFAAAAAA==&#10;">
                <v:fill on="t" focussize="0,0"/>
                <v:stroke color="#000000" miterlimit="8" joinstyle="miter"/>
                <v:imagedata o:title=""/>
                <o:lock v:ext="edit" aspectratio="f"/>
                <v:textbox>
                  <w:txbxContent>
                    <w:p>
                      <w:pPr>
                        <w:pStyle w:val="152"/>
                        <w:tabs>
                          <w:tab w:val="left" w:pos="360"/>
                          <w:tab w:val="clear" w:pos="643"/>
                        </w:tabs>
                        <w:ind w:left="360"/>
                      </w:pPr>
                      <w:r>
                        <w:t>WA: In the neighbour cell list we introduce an indication whether the cell operates in S&amp;F mode or not (FFS if we also include the transition time). This WA can only be confirmed if we converge on the corresponding UE behaviour.</w:t>
                      </w:r>
                    </w:p>
                    <w:p>
                      <w:pPr>
                        <w:pStyle w:val="120"/>
                        <w:spacing w:after="0"/>
                        <w:rPr>
                          <w:rFonts w:ascii="Calibri" w:hAnsi="Calibri" w:cs="Calibri"/>
                          <w:b/>
                          <w:color w:val="008000"/>
                          <w:sz w:val="18"/>
                        </w:rPr>
                      </w:pPr>
                    </w:p>
                    <w:p/>
                  </w:txbxContent>
                </v:textbox>
                <w10:wrap type="none"/>
                <w10:anchorlock/>
              </v:shape>
            </w:pict>
          </mc:Fallback>
        </mc:AlternateContent>
      </w:r>
    </w:p>
    <w:p>
      <w:pPr>
        <w:rPr>
          <w:rFonts w:eastAsia="宋体"/>
          <w:lang w:val="en-US" w:eastAsia="zh-CN"/>
        </w:rPr>
      </w:pPr>
      <w:r>
        <w:rPr>
          <w:rFonts w:hint="eastAsia" w:eastAsia="宋体"/>
          <w:lang w:val="en-US" w:eastAsia="zh-CN"/>
        </w:rPr>
        <w:t>However, the above statement is only the WA rather than the final agreement. And companies in RAN2 have not reached the consensus on the corresponding UE behaviour with the indication. If there is no further consensus in the August meeting, the above WA may be withdrawn. Therefore, it is too early for us to discuss RAN3</w:t>
      </w:r>
      <w:r>
        <w:rPr>
          <w:rFonts w:eastAsia="宋体"/>
          <w:lang w:val="en-US" w:eastAsia="zh-CN"/>
        </w:rPr>
        <w:t>’</w:t>
      </w:r>
      <w:r>
        <w:rPr>
          <w:rFonts w:hint="eastAsia" w:eastAsia="宋体"/>
          <w:lang w:val="en-US" w:eastAsia="zh-CN"/>
        </w:rPr>
        <w:t>s impact based on a WA from RAN2.</w:t>
      </w:r>
    </w:p>
    <w:p>
      <w:r>
        <w:rPr>
          <w:rFonts w:hint="eastAsia" w:eastAsia="宋体"/>
          <w:b/>
          <w:bCs/>
          <w:lang w:val="en-US" w:eastAsia="zh-CN"/>
        </w:rPr>
        <w:t>Observation</w:t>
      </w:r>
      <w:r>
        <w:rPr>
          <w:b/>
          <w:bCs/>
        </w:rPr>
        <w:t xml:space="preserve">: </w:t>
      </w:r>
      <w:r>
        <w:rPr>
          <w:rFonts w:hint="eastAsia" w:eastAsia="宋体"/>
          <w:b/>
          <w:bCs/>
          <w:lang w:val="en-US" w:eastAsia="zh-CN"/>
        </w:rPr>
        <w:t>RAN3 shall discuss the issue of the S&amp;F mode indication based on the final agreement from RAN2 rather than the WA from RAN2.</w:t>
      </w:r>
    </w:p>
    <w:p>
      <w:r>
        <w:rPr>
          <w:rFonts w:hint="eastAsia" w:eastAsia="宋体"/>
          <w:lang w:val="en-US" w:eastAsia="zh-CN"/>
        </w:rPr>
        <w:t>In addition, even though the WA turns to the agreement in RAN2,</w:t>
      </w:r>
      <w:r>
        <w:t xml:space="preserve"> there may be no impact </w:t>
      </w:r>
      <w:r>
        <w:rPr>
          <w:rFonts w:hint="eastAsia" w:eastAsia="宋体"/>
          <w:lang w:val="en-US" w:eastAsia="zh-CN"/>
        </w:rPr>
        <w:t>on</w:t>
      </w:r>
      <w:r>
        <w:t xml:space="preserve"> RAN3</w:t>
      </w:r>
      <w:r>
        <w:rPr>
          <w:rFonts w:eastAsia="宋体"/>
          <w:lang w:val="en-US" w:eastAsia="zh-CN"/>
        </w:rPr>
        <w:t>’</w:t>
      </w:r>
      <w:r>
        <w:rPr>
          <w:rFonts w:hint="eastAsia" w:eastAsia="宋体"/>
          <w:lang w:val="en-US" w:eastAsia="zh-CN"/>
        </w:rPr>
        <w:t>s</w:t>
      </w:r>
      <w:r>
        <w:t xml:space="preserve"> specification for </w:t>
      </w:r>
      <w:r>
        <w:rPr>
          <w:rFonts w:hint="eastAsia" w:eastAsia="宋体"/>
          <w:lang w:val="en-US" w:eastAsia="zh-CN"/>
        </w:rPr>
        <w:t xml:space="preserve">the </w:t>
      </w:r>
      <w:r>
        <w:t>following reasons:</w:t>
      </w:r>
    </w:p>
    <w:p>
      <w:pPr>
        <w:pStyle w:val="146"/>
        <w:numPr>
          <w:ilvl w:val="0"/>
          <w:numId w:val="5"/>
        </w:numPr>
        <w:rPr>
          <w:rFonts w:eastAsia="宋体"/>
        </w:rPr>
      </w:pPr>
      <w:r>
        <w:rPr>
          <w:rFonts w:eastAsia="宋体"/>
        </w:rPr>
        <w:t>It is clear that no provision is needed for the eNB’s S&amp;F mode, or transition between S&amp;F mode and non</w:t>
      </w:r>
      <w:r>
        <w:rPr>
          <w:rFonts w:hint="eastAsia" w:eastAsia="宋体"/>
          <w:lang w:val="en-US" w:eastAsia="zh-CN"/>
        </w:rPr>
        <w:t>-</w:t>
      </w:r>
      <w:r>
        <w:rPr>
          <w:rFonts w:eastAsia="宋体"/>
        </w:rPr>
        <w:t>S&amp;F mode</w:t>
      </w:r>
      <w:r>
        <w:rPr>
          <w:rFonts w:hint="eastAsia" w:eastAsia="宋体"/>
          <w:lang w:eastAsia="zh-CN"/>
        </w:rPr>
        <w:t xml:space="preserve"> for the </w:t>
      </w:r>
      <w:r>
        <w:rPr>
          <w:rFonts w:eastAsia="宋体"/>
          <w:lang w:eastAsia="zh-CN"/>
        </w:rPr>
        <w:t>neighbour</w:t>
      </w:r>
      <w:r>
        <w:rPr>
          <w:rFonts w:hint="eastAsia" w:eastAsia="宋体"/>
          <w:lang w:eastAsia="zh-CN"/>
        </w:rPr>
        <w:t xml:space="preserve"> cell on the same satellite</w:t>
      </w:r>
      <w:r>
        <w:rPr>
          <w:rFonts w:eastAsia="宋体"/>
        </w:rPr>
        <w:t>. The reason is that the eNB can determine its transition between the S&amp;F mode and non</w:t>
      </w:r>
      <w:r>
        <w:rPr>
          <w:rFonts w:hint="eastAsia" w:eastAsia="宋体"/>
          <w:lang w:val="en-US" w:eastAsia="zh-CN"/>
        </w:rPr>
        <w:t>-</w:t>
      </w:r>
      <w:r>
        <w:rPr>
          <w:rFonts w:eastAsia="宋体"/>
        </w:rPr>
        <w:t xml:space="preserve">S&amp;F mode, by determining when it needs to setup feeder link or release the feeder link, based on the satellite ephemeris information, location of NTN GW, etc. </w:t>
      </w:r>
    </w:p>
    <w:p>
      <w:pPr>
        <w:pStyle w:val="146"/>
        <w:numPr>
          <w:ilvl w:val="0"/>
          <w:numId w:val="5"/>
        </w:numPr>
        <w:rPr>
          <w:rFonts w:eastAsia="宋体"/>
        </w:rPr>
      </w:pPr>
      <w:r>
        <w:rPr>
          <w:rFonts w:eastAsia="宋体"/>
        </w:rPr>
        <w:t>The eNB/satellite is configured with the information of neighbouring satellites</w:t>
      </w:r>
      <w:r>
        <w:rPr>
          <w:rFonts w:hint="eastAsia" w:eastAsia="宋体"/>
          <w:lang w:val="en-US" w:eastAsia="zh-CN"/>
        </w:rPr>
        <w:t xml:space="preserve"> via OAM or NTN control function</w:t>
      </w:r>
      <w:r>
        <w:rPr>
          <w:rFonts w:eastAsia="宋体"/>
        </w:rPr>
        <w:t xml:space="preserve">, e.g. to generate SystemInformationBlockType32, SystemInformationBlockType33, etc. </w:t>
      </w:r>
    </w:p>
    <w:p>
      <w:pPr>
        <w:pStyle w:val="146"/>
        <w:numPr>
          <w:ilvl w:val="0"/>
          <w:numId w:val="5"/>
        </w:numPr>
        <w:rPr>
          <w:rFonts w:eastAsia="宋体"/>
        </w:rPr>
      </w:pPr>
      <w:r>
        <w:rPr>
          <w:rFonts w:eastAsia="宋体"/>
        </w:rPr>
        <w:t>Similarly, the eNB/satellite can also determine when the neighbouring eNB/satellite transition</w:t>
      </w:r>
      <w:r>
        <w:rPr>
          <w:rFonts w:hint="eastAsia" w:eastAsia="宋体"/>
          <w:lang w:val="en-US" w:eastAsia="zh-CN"/>
        </w:rPr>
        <w:t>s</w:t>
      </w:r>
      <w:r>
        <w:rPr>
          <w:rFonts w:eastAsia="宋体"/>
        </w:rPr>
        <w:t xml:space="preserve"> between S&amp;F mode and non</w:t>
      </w:r>
      <w:r>
        <w:rPr>
          <w:rFonts w:hint="eastAsia" w:eastAsia="宋体"/>
          <w:lang w:val="en-US" w:eastAsia="zh-CN"/>
        </w:rPr>
        <w:t>-</w:t>
      </w:r>
      <w:r>
        <w:rPr>
          <w:rFonts w:eastAsia="宋体"/>
        </w:rPr>
        <w:t xml:space="preserve">S&amp;F mode, e.g. based on the neighbouring satellite’s ephemeris information, location of NTN GW, etc. </w:t>
      </w:r>
    </w:p>
    <w:p>
      <w:pPr>
        <w:ind w:left="50"/>
      </w:pPr>
      <w:r>
        <w:t>In a summary, based on the existing information, the eNB/satellite can determine when it transitions between S&amp;F mode and non</w:t>
      </w:r>
      <w:r>
        <w:rPr>
          <w:rFonts w:hint="eastAsia" w:eastAsia="宋体"/>
          <w:lang w:val="en-US" w:eastAsia="zh-CN"/>
        </w:rPr>
        <w:t>-</w:t>
      </w:r>
      <w:r>
        <w:t>S&amp;F mode, and can</w:t>
      </w:r>
      <w:r>
        <w:rPr>
          <w:rFonts w:hint="eastAsia" w:eastAsia="宋体"/>
          <w:lang w:val="en-US" w:eastAsia="zh-CN"/>
        </w:rPr>
        <w:t xml:space="preserve"> also</w:t>
      </w:r>
      <w:r>
        <w:t xml:space="preserve"> determine when neighbouring eNB/satellite transitions between S&amp;F mode and non</w:t>
      </w:r>
      <w:r>
        <w:rPr>
          <w:rFonts w:hint="eastAsia" w:eastAsia="宋体"/>
          <w:lang w:val="en-US" w:eastAsia="zh-CN"/>
        </w:rPr>
        <w:t>-</w:t>
      </w:r>
      <w:r>
        <w:t>S&amp;F mode.</w:t>
      </w:r>
      <w:r>
        <w:rPr>
          <w:rFonts w:hint="eastAsia" w:eastAsia="宋体"/>
          <w:lang w:val="en-US" w:eastAsia="zh-CN"/>
        </w:rPr>
        <w:t xml:space="preserve"> At the same time</w:t>
      </w:r>
      <w:r>
        <w:t xml:space="preserve">, the neighboring eNB </w:t>
      </w:r>
      <w:r>
        <w:rPr>
          <w:rFonts w:hint="eastAsia" w:eastAsia="宋体"/>
          <w:lang w:val="en-US" w:eastAsia="zh-CN"/>
        </w:rPr>
        <w:t>may</w:t>
      </w:r>
      <w:r>
        <w:t xml:space="preserve"> transition between S&amp;F mode and non S&amp;F mode.</w:t>
      </w:r>
      <w:r>
        <w:rPr>
          <w:rFonts w:hint="eastAsia" w:eastAsia="宋体"/>
          <w:lang w:val="en-US" w:eastAsia="zh-CN"/>
        </w:rPr>
        <w:t xml:space="preserve"> In this case, t</w:t>
      </w:r>
      <w:r>
        <w:t>he S&amp;F mode information is not a “static” information</w:t>
      </w:r>
      <w:r>
        <w:rPr>
          <w:rFonts w:hint="eastAsia" w:eastAsia="宋体"/>
          <w:lang w:val="en-US" w:eastAsia="zh-CN"/>
        </w:rPr>
        <w:t>, i</w:t>
      </w:r>
      <w:r>
        <w:t>t is a “semi-stat</w:t>
      </w:r>
      <w:r>
        <w:rPr>
          <w:rFonts w:hint="eastAsia" w:eastAsia="宋体"/>
          <w:lang w:val="en-US" w:eastAsia="zh-CN"/>
        </w:rPr>
        <w:t>ic</w:t>
      </w:r>
      <w:r>
        <w:t>” information that can be changed. So</w:t>
      </w:r>
      <w:r>
        <w:rPr>
          <w:rFonts w:hint="eastAsia" w:eastAsia="宋体"/>
          <w:lang w:val="en-US" w:eastAsia="zh-CN"/>
        </w:rPr>
        <w:t>,</w:t>
      </w:r>
      <w:r>
        <w:t xml:space="preserve"> there is no need to provision the S&amp;F indication of neighbor cell(s).</w:t>
      </w:r>
    </w:p>
    <w:p>
      <w:pPr>
        <w:rPr>
          <w:b/>
          <w:bCs/>
          <w:lang w:val="en-US" w:eastAsia="zh-CN"/>
        </w:rPr>
      </w:pPr>
      <w:r>
        <w:rPr>
          <w:b/>
          <w:bCs/>
        </w:rPr>
        <w:t xml:space="preserve">Proposal: There is no need </w:t>
      </w:r>
      <w:bookmarkStart w:id="3" w:name="_GoBack"/>
      <w:bookmarkEnd w:id="3"/>
      <w:r>
        <w:rPr>
          <w:b/>
          <w:bCs/>
        </w:rPr>
        <w:t xml:space="preserve">to provision S&amp;F indication of neighbor cell(s). </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r>
        <w:rPr>
          <w:rFonts w:hint="eastAsia" w:eastAsia="宋体"/>
          <w:b/>
          <w:bCs/>
          <w:lang w:val="en-US" w:eastAsia="zh-CN"/>
        </w:rPr>
        <w:t>Observation</w:t>
      </w:r>
      <w:r>
        <w:rPr>
          <w:b/>
          <w:bCs/>
        </w:rPr>
        <w:t xml:space="preserve">: </w:t>
      </w:r>
      <w:r>
        <w:rPr>
          <w:rFonts w:hint="eastAsia" w:eastAsia="宋体"/>
          <w:b/>
          <w:bCs/>
          <w:lang w:val="en-US" w:eastAsia="zh-CN"/>
        </w:rPr>
        <w:t>RAN3 shall discuss the issue of the S&amp;F mode indication based on the final agreement from RAN2 rather than the WA from RAN2.</w:t>
      </w:r>
    </w:p>
    <w:p>
      <w:pPr>
        <w:rPr>
          <w:b/>
          <w:bCs/>
          <w:lang w:val="en-US" w:eastAsia="zh-CN"/>
        </w:rPr>
      </w:pPr>
      <w:r>
        <w:rPr>
          <w:b/>
          <w:bCs/>
        </w:rPr>
        <w:t xml:space="preserve">Proposal: There is no need to provision S&amp;F indication of neighbor cell(s). </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ascii="Arial" w:hAnsi="Arial" w:eastAsia="宋体"/>
          <w:lang w:val="en-US" w:eastAsia="zh-CN"/>
        </w:rPr>
      </w:pPr>
      <w:r>
        <w:rPr>
          <w:rFonts w:hint="eastAsia" w:ascii="Arial" w:hAnsi="Arial" w:eastAsia="宋体"/>
          <w:lang w:val="en-US" w:eastAsia="zh-CN"/>
        </w:rPr>
        <w:t>[1] R3-255514, (TP for TS 36.300) Provision of S&amp;F Mode Indication of neighbour cell list, Huawei, Ericsson, Jio Platforms</w:t>
      </w:r>
    </w:p>
    <w:p>
      <w:pPr>
        <w:spacing w:after="0" w:line="360" w:lineRule="auto"/>
        <w:rPr>
          <w:lang w:val="en-US"/>
        </w:rPr>
      </w:pPr>
      <w:r>
        <w:rPr>
          <w:rFonts w:hint="eastAsia" w:ascii="Arial" w:hAnsi="Arial" w:eastAsia="宋体"/>
          <w:lang w:val="en-US" w:eastAsia="zh-CN"/>
        </w:rPr>
        <w:t>[2] R2-2504673, Report from Break-out session on NR-NTN and IoT-NTN, RAN2#130</w:t>
      </w:r>
    </w:p>
    <w:p>
      <w:pPr>
        <w:tabs>
          <w:tab w:val="left" w:pos="3544"/>
          <w:tab w:val="left" w:pos="7230"/>
        </w:tabs>
        <w:ind w:left="100" w:hanging="100" w:hangingChars="50"/>
        <w:textAlignment w:val="auto"/>
        <w:rPr>
          <w:rFonts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7A734A6"/>
    <w:multiLevelType w:val="multilevel"/>
    <w:tmpl w:val="37A734A6"/>
    <w:lvl w:ilvl="0" w:tentative="0">
      <w:start w:val="15"/>
      <w:numFmt w:val="bullet"/>
      <w:lvlText w:val=""/>
      <w:lvlJc w:val="left"/>
      <w:pPr>
        <w:tabs>
          <w:tab w:val="left" w:pos="-420"/>
        </w:tabs>
        <w:ind w:left="-10" w:hanging="360"/>
      </w:pPr>
      <w:rPr>
        <w:rFonts w:hint="default" w:ascii="Symbol" w:hAnsi="Symbol" w:eastAsia="宋体" w:cs="Times New Roman"/>
      </w:rPr>
    </w:lvl>
    <w:lvl w:ilvl="1" w:tentative="0">
      <w:start w:val="1"/>
      <w:numFmt w:val="bullet"/>
      <w:lvlText w:val="o"/>
      <w:lvlJc w:val="left"/>
      <w:pPr>
        <w:tabs>
          <w:tab w:val="left" w:pos="-420"/>
        </w:tabs>
        <w:ind w:left="710" w:hanging="360"/>
      </w:pPr>
      <w:rPr>
        <w:rFonts w:hint="default" w:ascii="Courier New" w:hAnsi="Courier New" w:cs="Courier New"/>
      </w:rPr>
    </w:lvl>
    <w:lvl w:ilvl="2" w:tentative="0">
      <w:start w:val="1"/>
      <w:numFmt w:val="bullet"/>
      <w:lvlText w:val=""/>
      <w:lvlJc w:val="left"/>
      <w:pPr>
        <w:tabs>
          <w:tab w:val="left" w:pos="-420"/>
        </w:tabs>
        <w:ind w:left="1430" w:hanging="360"/>
      </w:pPr>
      <w:rPr>
        <w:rFonts w:hint="default" w:ascii="Wingdings" w:hAnsi="Wingdings"/>
      </w:rPr>
    </w:lvl>
    <w:lvl w:ilvl="3" w:tentative="0">
      <w:start w:val="1"/>
      <w:numFmt w:val="bullet"/>
      <w:lvlText w:val=""/>
      <w:lvlJc w:val="left"/>
      <w:pPr>
        <w:tabs>
          <w:tab w:val="left" w:pos="-420"/>
        </w:tabs>
        <w:ind w:left="2150" w:hanging="360"/>
      </w:pPr>
      <w:rPr>
        <w:rFonts w:hint="default" w:ascii="Symbol" w:hAnsi="Symbol"/>
      </w:rPr>
    </w:lvl>
    <w:lvl w:ilvl="4" w:tentative="0">
      <w:start w:val="1"/>
      <w:numFmt w:val="bullet"/>
      <w:lvlText w:val="o"/>
      <w:lvlJc w:val="left"/>
      <w:pPr>
        <w:tabs>
          <w:tab w:val="left" w:pos="-420"/>
        </w:tabs>
        <w:ind w:left="2870" w:hanging="360"/>
      </w:pPr>
      <w:rPr>
        <w:rFonts w:hint="default" w:ascii="Courier New" w:hAnsi="Courier New" w:cs="Courier New"/>
      </w:rPr>
    </w:lvl>
    <w:lvl w:ilvl="5" w:tentative="0">
      <w:start w:val="1"/>
      <w:numFmt w:val="bullet"/>
      <w:lvlText w:val=""/>
      <w:lvlJc w:val="left"/>
      <w:pPr>
        <w:tabs>
          <w:tab w:val="left" w:pos="-420"/>
        </w:tabs>
        <w:ind w:left="3590" w:hanging="360"/>
      </w:pPr>
      <w:rPr>
        <w:rFonts w:hint="default" w:ascii="Wingdings" w:hAnsi="Wingdings"/>
      </w:rPr>
    </w:lvl>
    <w:lvl w:ilvl="6" w:tentative="0">
      <w:start w:val="1"/>
      <w:numFmt w:val="bullet"/>
      <w:lvlText w:val=""/>
      <w:lvlJc w:val="left"/>
      <w:pPr>
        <w:tabs>
          <w:tab w:val="left" w:pos="-420"/>
        </w:tabs>
        <w:ind w:left="4310" w:hanging="360"/>
      </w:pPr>
      <w:rPr>
        <w:rFonts w:hint="default" w:ascii="Symbol" w:hAnsi="Symbol"/>
      </w:rPr>
    </w:lvl>
    <w:lvl w:ilvl="7" w:tentative="0">
      <w:start w:val="1"/>
      <w:numFmt w:val="bullet"/>
      <w:lvlText w:val="o"/>
      <w:lvlJc w:val="left"/>
      <w:pPr>
        <w:tabs>
          <w:tab w:val="left" w:pos="-420"/>
        </w:tabs>
        <w:ind w:left="5030" w:hanging="360"/>
      </w:pPr>
      <w:rPr>
        <w:rFonts w:hint="default" w:ascii="Courier New" w:hAnsi="Courier New" w:cs="Courier New"/>
      </w:rPr>
    </w:lvl>
    <w:lvl w:ilvl="8" w:tentative="0">
      <w:start w:val="1"/>
      <w:numFmt w:val="bullet"/>
      <w:lvlText w:val=""/>
      <w:lvlJc w:val="left"/>
      <w:pPr>
        <w:tabs>
          <w:tab w:val="left" w:pos="-420"/>
        </w:tabs>
        <w:ind w:left="5750" w:hanging="360"/>
      </w:pPr>
      <w:rPr>
        <w:rFonts w:hint="default" w:ascii="Wingdings" w:hAnsi="Wingdings"/>
      </w:rPr>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3">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6CC3B7A"/>
    <w:multiLevelType w:val="multilevel"/>
    <w:tmpl w:val="76CC3B7A"/>
    <w:lvl w:ilvl="0" w:tentative="0">
      <w:start w:val="1"/>
      <w:numFmt w:val="decimal"/>
      <w:lvlText w:val="Proposal %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0B8C"/>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15768"/>
    <w:rsid w:val="0042123F"/>
    <w:rsid w:val="004236BA"/>
    <w:rsid w:val="00423C50"/>
    <w:rsid w:val="004242F1"/>
    <w:rsid w:val="00427066"/>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1D8D"/>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54A4"/>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08240E4A"/>
    <w:rsid w:val="0AE2602C"/>
    <w:rsid w:val="0F3B1151"/>
    <w:rsid w:val="0F734174"/>
    <w:rsid w:val="108011E9"/>
    <w:rsid w:val="114D4243"/>
    <w:rsid w:val="14AA70B5"/>
    <w:rsid w:val="15C84103"/>
    <w:rsid w:val="198B1E0E"/>
    <w:rsid w:val="19B858C4"/>
    <w:rsid w:val="1C1439A1"/>
    <w:rsid w:val="23482F54"/>
    <w:rsid w:val="27485451"/>
    <w:rsid w:val="2BAA2194"/>
    <w:rsid w:val="3073528B"/>
    <w:rsid w:val="31F80BE5"/>
    <w:rsid w:val="32357F9B"/>
    <w:rsid w:val="32FE336D"/>
    <w:rsid w:val="349D22D4"/>
    <w:rsid w:val="36887249"/>
    <w:rsid w:val="368955A7"/>
    <w:rsid w:val="36C62A20"/>
    <w:rsid w:val="39927DF3"/>
    <w:rsid w:val="3C4561F4"/>
    <w:rsid w:val="3CB721B5"/>
    <w:rsid w:val="3DA97D8A"/>
    <w:rsid w:val="40E20852"/>
    <w:rsid w:val="42DA1948"/>
    <w:rsid w:val="49080D78"/>
    <w:rsid w:val="4D3227A1"/>
    <w:rsid w:val="4F020A72"/>
    <w:rsid w:val="4F447498"/>
    <w:rsid w:val="51F05D92"/>
    <w:rsid w:val="54826D2B"/>
    <w:rsid w:val="56866800"/>
    <w:rsid w:val="56DD406B"/>
    <w:rsid w:val="5D4D4EE0"/>
    <w:rsid w:val="60520FBB"/>
    <w:rsid w:val="640B65EF"/>
    <w:rsid w:val="65CB2F9C"/>
    <w:rsid w:val="66E84BCE"/>
    <w:rsid w:val="678217B6"/>
    <w:rsid w:val="6A4F7457"/>
    <w:rsid w:val="6A563007"/>
    <w:rsid w:val="6DA031ED"/>
    <w:rsid w:val="6DE90F3C"/>
    <w:rsid w:val="6E203A7E"/>
    <w:rsid w:val="70595E82"/>
    <w:rsid w:val="743962FF"/>
    <w:rsid w:val="749D49BE"/>
    <w:rsid w:val="76C623B2"/>
    <w:rsid w:val="776D6B21"/>
    <w:rsid w:val="7B2F290C"/>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1"/>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58"/>
    <w:unhideWhenUsed/>
    <w:qFormat/>
    <w:uiPriority w:val="0"/>
    <w:pPr>
      <w:spacing w:after="0"/>
    </w:pPr>
    <w:rPr>
      <w:rFonts w:ascii="Segoe UI" w:hAnsi="Segoe UI" w:cs="Segoe UI"/>
      <w:sz w:val="18"/>
      <w:szCs w:val="18"/>
    </w:rPr>
  </w:style>
  <w:style w:type="paragraph" w:styleId="37">
    <w:name w:val="footer"/>
    <w:basedOn w:val="38"/>
    <w:link w:val="118"/>
    <w:qFormat/>
    <w:uiPriority w:val="99"/>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批注框文本 Char"/>
    <w:basedOn w:val="51"/>
    <w:link w:val="36"/>
    <w:qFormat/>
    <w:uiPriority w:val="0"/>
    <w:rPr>
      <w:rFonts w:ascii="Segoe UI" w:hAnsi="Segoe UI" w:eastAsia="Times New Roman" w:cs="Segoe UI"/>
      <w:sz w:val="18"/>
      <w:szCs w:val="18"/>
      <w:lang w:val="en-GB" w:eastAsia="ja-JP"/>
    </w:rPr>
  </w:style>
  <w:style w:type="character" w:customStyle="1" w:styleId="59">
    <w:name w:val="标题 1 Char"/>
    <w:link w:val="2"/>
    <w:qFormat/>
    <w:uiPriority w:val="0"/>
    <w:rPr>
      <w:rFonts w:ascii="Arial" w:hAnsi="Arial" w:eastAsia="Times New Roman"/>
      <w:sz w:val="36"/>
      <w:lang w:val="en-GB" w:eastAsia="ja-JP"/>
    </w:rPr>
  </w:style>
  <w:style w:type="character" w:customStyle="1" w:styleId="60">
    <w:name w:val="标题 2 Char"/>
    <w:link w:val="3"/>
    <w:qFormat/>
    <w:uiPriority w:val="0"/>
    <w:rPr>
      <w:rFonts w:ascii="Arial" w:hAnsi="Arial" w:eastAsia="Times New Roman"/>
      <w:sz w:val="32"/>
      <w:lang w:val="en-GB" w:eastAsia="ja-JP"/>
    </w:rPr>
  </w:style>
  <w:style w:type="character" w:customStyle="1" w:styleId="61">
    <w:name w:val="标题 3 Char"/>
    <w:link w:val="4"/>
    <w:qFormat/>
    <w:uiPriority w:val="0"/>
    <w:rPr>
      <w:rFonts w:ascii="Arial" w:hAnsi="Arial" w:eastAsia="Times New Roman"/>
      <w:sz w:val="28"/>
      <w:lang w:val="en-GB" w:eastAsia="ja-JP"/>
    </w:rPr>
  </w:style>
  <w:style w:type="character" w:customStyle="1" w:styleId="62">
    <w:name w:val="标题 4 Char"/>
    <w:link w:val="5"/>
    <w:qFormat/>
    <w:locked/>
    <w:uiPriority w:val="0"/>
    <w:rPr>
      <w:rFonts w:ascii="Arial" w:hAnsi="Arial" w:eastAsia="Times New Roman"/>
      <w:sz w:val="24"/>
      <w:lang w:val="en-GB" w:eastAsia="ja-JP"/>
    </w:rPr>
  </w:style>
  <w:style w:type="character" w:customStyle="1" w:styleId="63">
    <w:name w:val="标题 5 Char"/>
    <w:link w:val="6"/>
    <w:qFormat/>
    <w:uiPriority w:val="0"/>
    <w:rPr>
      <w:rFonts w:ascii="Arial" w:hAnsi="Arial" w:eastAsia="Times New Roman"/>
      <w:sz w:val="22"/>
      <w:lang w:val="en-GB" w:eastAsia="ja-JP"/>
    </w:rPr>
  </w:style>
  <w:style w:type="character" w:customStyle="1" w:styleId="64">
    <w:name w:val="标题 6 Char"/>
    <w:link w:val="7"/>
    <w:qFormat/>
    <w:uiPriority w:val="0"/>
    <w:rPr>
      <w:rFonts w:ascii="Arial" w:hAnsi="Arial" w:eastAsia="Times New Roman"/>
      <w:lang w:val="en-GB" w:eastAsia="ja-JP"/>
    </w:rPr>
  </w:style>
  <w:style w:type="character" w:customStyle="1" w:styleId="65">
    <w:name w:val="标题 7 Char"/>
    <w:link w:val="9"/>
    <w:qFormat/>
    <w:uiPriority w:val="0"/>
    <w:rPr>
      <w:rFonts w:ascii="Arial" w:hAnsi="Arial" w:eastAsia="Times New Roman"/>
      <w:lang w:val="en-GB" w:eastAsia="ja-JP"/>
    </w:rPr>
  </w:style>
  <w:style w:type="character" w:customStyle="1" w:styleId="66">
    <w:name w:val="标题 8 Char"/>
    <w:link w:val="10"/>
    <w:qFormat/>
    <w:uiPriority w:val="0"/>
    <w:rPr>
      <w:rFonts w:ascii="Arial" w:hAnsi="Arial" w:eastAsia="Times New Roman"/>
      <w:sz w:val="36"/>
      <w:lang w:val="en-GB" w:eastAsia="ja-JP"/>
    </w:rPr>
  </w:style>
  <w:style w:type="character" w:customStyle="1" w:styleId="67">
    <w:name w:val="标题 9 Char"/>
    <w:link w:val="11"/>
    <w:qFormat/>
    <w:uiPriority w:val="0"/>
    <w:rPr>
      <w:rFonts w:ascii="Arial" w:hAnsi="Arial" w:eastAsia="Times New Roman"/>
      <w:sz w:val="36"/>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0">
    <w:name w:val="TT"/>
    <w:basedOn w:val="2"/>
    <w:next w:val="1"/>
    <w:qFormat/>
    <w:uiPriority w:val="0"/>
    <w:pPr>
      <w:outlineLvl w:val="9"/>
    </w:pPr>
  </w:style>
  <w:style w:type="character" w:customStyle="1" w:styleId="71">
    <w:name w:val="页眉 Char"/>
    <w:link w:val="38"/>
    <w:qFormat/>
    <w:uiPriority w:val="0"/>
    <w:rPr>
      <w:rFonts w:ascii="Arial" w:hAnsi="Arial" w:eastAsia="Times New Roman"/>
      <w:b/>
      <w:sz w:val="18"/>
      <w:lang w:val="en-GB" w:eastAsia="ja-JP"/>
    </w:rPr>
  </w:style>
  <w:style w:type="character" w:customStyle="1" w:styleId="72">
    <w:name w:val="脚注文本 Char"/>
    <w:link w:val="39"/>
    <w:qFormat/>
    <w:uiPriority w:val="0"/>
    <w:rPr>
      <w:rFonts w:ascii="Times New Roman" w:hAnsi="Times New Roman" w:eastAsia="Times New Roman"/>
      <w:sz w:val="16"/>
      <w:lang w:val="en-GB" w:eastAsia="ja-JP"/>
    </w:r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eastAsia="Times New Roman"/>
      <w:sz w:val="18"/>
      <w:lang w:val="en-GB" w:eastAsia="ja-JP"/>
    </w:rPr>
  </w:style>
  <w:style w:type="character" w:customStyle="1" w:styleId="77">
    <w:name w:val="TAC Char"/>
    <w:link w:val="74"/>
    <w:qFormat/>
    <w:locked/>
    <w:uiPriority w:val="0"/>
    <w:rPr>
      <w:rFonts w:ascii="Arial" w:hAnsi="Arial" w:eastAsia="Times New Roman"/>
      <w:sz w:val="18"/>
      <w:lang w:val="en-GB" w:eastAsia="ja-JP"/>
    </w:rPr>
  </w:style>
  <w:style w:type="character" w:customStyle="1" w:styleId="78">
    <w:name w:val="TAH Car"/>
    <w:link w:val="73"/>
    <w:qFormat/>
    <w:locked/>
    <w:uiPriority w:val="0"/>
    <w:rPr>
      <w:rFonts w:ascii="Arial" w:hAnsi="Arial" w:eastAsia="Times New Roman"/>
      <w:b/>
      <w:sz w:val="18"/>
      <w:lang w:val="en-GB" w:eastAsia="ja-JP"/>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eastAsia="Times New Roman"/>
      <w:b/>
      <w:lang w:val="en-GB" w:eastAsia="ja-JP"/>
    </w:rPr>
  </w:style>
  <w:style w:type="character" w:customStyle="1" w:styleId="82">
    <w:name w:val="TF Char"/>
    <w:link w:val="79"/>
    <w:qFormat/>
    <w:uiPriority w:val="0"/>
    <w:rPr>
      <w:rFonts w:ascii="Arial" w:hAnsi="Arial" w:eastAsia="Times New Roman"/>
      <w:b/>
      <w:lang w:val="en-GB" w:eastAsia="ja-JP"/>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eastAsia="Times New Roman"/>
      <w:lang w:val="en-GB" w:eastAsia="ja-JP"/>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eastAsia="Times New Roman"/>
      <w:lang w:val="en-GB" w:eastAsia="ja-JP"/>
    </w:r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character" w:customStyle="1" w:styleId="91">
    <w:name w:val="列表项目符号 2 Char"/>
    <w:link w:val="26"/>
    <w:qFormat/>
    <w:uiPriority w:val="0"/>
    <w:rPr>
      <w:rFonts w:ascii="Times New Roman" w:hAnsi="Times New Roman" w:eastAsia="Times New Roman"/>
      <w:lang w:val="en-GB" w:eastAsia="ja-JP"/>
    </w:rPr>
  </w:style>
  <w:style w:type="paragraph" w:customStyle="1" w:styleId="92">
    <w:name w:val="EQ"/>
    <w:basedOn w:val="1"/>
    <w:next w:val="1"/>
    <w:qFormat/>
    <w:uiPriority w:val="0"/>
    <w:pPr>
      <w:keepLines/>
      <w:tabs>
        <w:tab w:val="center" w:pos="4536"/>
        <w:tab w:val="right" w:pos="9072"/>
      </w:tabs>
    </w:pPr>
  </w:style>
  <w:style w:type="paragraph" w:customStyle="1" w:styleId="93">
    <w:name w:val="NF"/>
    <w:basedOn w:val="83"/>
    <w:qFormat/>
    <w:uiPriority w:val="0"/>
    <w:pPr>
      <w:keepNext/>
      <w:spacing w:after="0"/>
    </w:pPr>
    <w:rPr>
      <w:rFonts w:ascii="Arial" w:hAnsi="Arial"/>
      <w:sz w:val="18"/>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AR"/>
    <w:basedOn w:val="75"/>
    <w:qFormat/>
    <w:uiPriority w:val="0"/>
    <w:pPr>
      <w:jc w:val="right"/>
    </w:pPr>
  </w:style>
  <w:style w:type="paragraph" w:customStyle="1" w:styleId="97">
    <w:name w:val="TAN"/>
    <w:basedOn w:val="75"/>
    <w:link w:val="98"/>
    <w:qFormat/>
    <w:uiPriority w:val="99"/>
    <w:pPr>
      <w:ind w:left="851" w:hanging="851"/>
    </w:pPr>
  </w:style>
  <w:style w:type="character" w:customStyle="1" w:styleId="98">
    <w:name w:val="TAN Char"/>
    <w:link w:val="97"/>
    <w:qFormat/>
    <w:locked/>
    <w:uiPriority w:val="0"/>
    <w:rPr>
      <w:rFonts w:ascii="Arial" w:hAnsi="Arial" w:eastAsia="Times New Roman"/>
      <w:sz w:val="18"/>
      <w:lang w:val="en-GB" w:eastAsia="ja-JP"/>
    </w:rPr>
  </w:style>
  <w:style w:type="paragraph" w:customStyle="1" w:styleId="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ZV"/>
    <w:basedOn w:val="102"/>
    <w:qFormat/>
    <w:uiPriority w:val="0"/>
    <w:pPr>
      <w:framePr w:y="16161"/>
    </w:pPr>
  </w:style>
  <w:style w:type="character" w:customStyle="1" w:styleId="104">
    <w:name w:val="ZGSM"/>
    <w:qFormat/>
    <w:uiPriority w:val="0"/>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6">
    <w:name w:val="Editor's Note"/>
    <w:basedOn w:val="83"/>
    <w:link w:val="107"/>
    <w:qFormat/>
    <w:uiPriority w:val="0"/>
    <w:rPr>
      <w:color w:val="FF0000"/>
    </w:rPr>
  </w:style>
  <w:style w:type="character" w:customStyle="1" w:styleId="107">
    <w:name w:val="Editor's Note Char"/>
    <w:link w:val="106"/>
    <w:qFormat/>
    <w:uiPriority w:val="0"/>
    <w:rPr>
      <w:rFonts w:ascii="Times New Roman" w:hAnsi="Times New Roman" w:eastAsia="Times New Roman"/>
      <w:color w:val="FF0000"/>
      <w:lang w:val="en-GB" w:eastAsia="ja-JP"/>
    </w:rPr>
  </w:style>
  <w:style w:type="paragraph" w:customStyle="1" w:styleId="108">
    <w:name w:val="B1"/>
    <w:basedOn w:val="14"/>
    <w:link w:val="109"/>
    <w:qFormat/>
    <w:uiPriority w:val="0"/>
  </w:style>
  <w:style w:type="character" w:customStyle="1" w:styleId="109">
    <w:name w:val="B1 Char1"/>
    <w:link w:val="108"/>
    <w:qFormat/>
    <w:uiPriority w:val="0"/>
    <w:rPr>
      <w:rFonts w:ascii="Times New Roman" w:hAnsi="Times New Roman" w:eastAsia="Times New Roman"/>
      <w:lang w:val="en-GB" w:eastAsia="ja-JP"/>
    </w:rPr>
  </w:style>
  <w:style w:type="paragraph" w:customStyle="1" w:styleId="110">
    <w:name w:val="B2"/>
    <w:basedOn w:val="13"/>
    <w:link w:val="111"/>
    <w:qFormat/>
    <w:uiPriority w:val="0"/>
  </w:style>
  <w:style w:type="character" w:customStyle="1" w:styleId="111">
    <w:name w:val="B2 Char"/>
    <w:link w:val="110"/>
    <w:qFormat/>
    <w:uiPriority w:val="0"/>
    <w:rPr>
      <w:rFonts w:ascii="Times New Roman" w:hAnsi="Times New Roman" w:eastAsia="Times New Roman"/>
      <w:lang w:val="en-GB" w:eastAsia="ja-JP"/>
    </w:rPr>
  </w:style>
  <w:style w:type="paragraph" w:customStyle="1" w:styleId="112">
    <w:name w:val="B3"/>
    <w:basedOn w:val="12"/>
    <w:link w:val="113"/>
    <w:qFormat/>
    <w:uiPriority w:val="0"/>
  </w:style>
  <w:style w:type="character" w:customStyle="1" w:styleId="113">
    <w:name w:val="B3 Char2"/>
    <w:link w:val="112"/>
    <w:qFormat/>
    <w:uiPriority w:val="0"/>
    <w:rPr>
      <w:rFonts w:ascii="Times New Roman" w:hAnsi="Times New Roman" w:eastAsia="Times New Roman"/>
      <w:lang w:val="en-GB" w:eastAsia="ja-JP"/>
    </w:rPr>
  </w:style>
  <w:style w:type="paragraph" w:customStyle="1" w:styleId="114">
    <w:name w:val="B4"/>
    <w:basedOn w:val="41"/>
    <w:link w:val="115"/>
    <w:qFormat/>
    <w:uiPriority w:val="0"/>
  </w:style>
  <w:style w:type="character" w:customStyle="1" w:styleId="115">
    <w:name w:val="B4 Char"/>
    <w:link w:val="114"/>
    <w:qFormat/>
    <w:uiPriority w:val="0"/>
    <w:rPr>
      <w:rFonts w:ascii="Times New Roman" w:hAnsi="Times New Roman" w:eastAsia="Times New Roman"/>
      <w:lang w:val="en-GB" w:eastAsia="ja-JP"/>
    </w:rPr>
  </w:style>
  <w:style w:type="paragraph" w:customStyle="1" w:styleId="116">
    <w:name w:val="B5"/>
    <w:basedOn w:val="40"/>
    <w:link w:val="117"/>
    <w:qFormat/>
    <w:uiPriority w:val="0"/>
  </w:style>
  <w:style w:type="character" w:customStyle="1" w:styleId="117">
    <w:name w:val="B5 Char"/>
    <w:link w:val="116"/>
    <w:qFormat/>
    <w:uiPriority w:val="0"/>
    <w:rPr>
      <w:rFonts w:ascii="Times New Roman" w:hAnsi="Times New Roman" w:eastAsia="Times New Roman"/>
      <w:lang w:val="en-GB" w:eastAsia="ja-JP"/>
    </w:rPr>
  </w:style>
  <w:style w:type="character" w:customStyle="1" w:styleId="118">
    <w:name w:val="页脚 Char"/>
    <w:link w:val="37"/>
    <w:qFormat/>
    <w:uiPriority w:val="99"/>
    <w:rPr>
      <w:rFonts w:ascii="Arial" w:hAnsi="Arial" w:eastAsia="Times New Roman"/>
      <w:b/>
      <w:i/>
      <w:sz w:val="18"/>
      <w:lang w:val="en-GB" w:eastAsia="ja-JP"/>
    </w:rPr>
  </w:style>
  <w:style w:type="paragraph" w:customStyle="1" w:styleId="119">
    <w:name w:val="ZTD"/>
    <w:basedOn w:val="100"/>
    <w:qFormat/>
    <w:uiPriority w:val="0"/>
    <w:pPr>
      <w:framePr w:hRule="auto" w:y="852"/>
    </w:pPr>
    <w:rPr>
      <w:i w:val="0"/>
      <w:sz w:val="40"/>
    </w:rPr>
  </w:style>
  <w:style w:type="paragraph" w:customStyle="1" w:styleId="120">
    <w:name w:val="CR Cover Page"/>
    <w:link w:val="121"/>
    <w:qFormat/>
    <w:uiPriority w:val="0"/>
    <w:pPr>
      <w:spacing w:after="120"/>
    </w:pPr>
    <w:rPr>
      <w:rFonts w:ascii="Arial" w:hAnsi="Arial" w:eastAsia="Times New Roman" w:cs="Times New Roman"/>
      <w:lang w:val="en-GB" w:eastAsia="en-US" w:bidi="ar-SA"/>
    </w:rPr>
  </w:style>
  <w:style w:type="character" w:customStyle="1" w:styleId="121">
    <w:name w:val="CR Cover Page Zchn"/>
    <w:link w:val="120"/>
    <w:qFormat/>
    <w:locked/>
    <w:uiPriority w:val="0"/>
    <w:rPr>
      <w:rFonts w:ascii="Arial" w:hAnsi="Arial" w:eastAsia="Times New Roman"/>
      <w:lang w:val="en-GB" w:eastAsia="en-US"/>
    </w:rPr>
  </w:style>
  <w:style w:type="paragraph" w:customStyle="1" w:styleId="122">
    <w:name w:val="tdoc-header"/>
    <w:qFormat/>
    <w:uiPriority w:val="0"/>
    <w:rPr>
      <w:rFonts w:ascii="Arial" w:hAnsi="Arial" w:eastAsia="宋体" w:cs="Times New Roman"/>
      <w:sz w:val="24"/>
      <w:lang w:val="en-GB" w:eastAsia="en-US" w:bidi="ar-SA"/>
    </w:rPr>
  </w:style>
  <w:style w:type="character" w:customStyle="1" w:styleId="123">
    <w:name w:val="批注文字 Char"/>
    <w:basedOn w:val="51"/>
    <w:link w:val="30"/>
    <w:qFormat/>
    <w:uiPriority w:val="0"/>
    <w:rPr>
      <w:rFonts w:ascii="Times New Roman" w:hAnsi="Times New Roman" w:eastAsia="Times New Roman"/>
      <w:lang w:val="en-GB" w:eastAsia="ja-JP"/>
    </w:rPr>
  </w:style>
  <w:style w:type="character" w:customStyle="1" w:styleId="124">
    <w:name w:val="批注主题 Char"/>
    <w:basedOn w:val="123"/>
    <w:link w:val="48"/>
    <w:qFormat/>
    <w:uiPriority w:val="99"/>
    <w:rPr>
      <w:rFonts w:ascii="Times New Roman" w:hAnsi="Times New Roman" w:eastAsia="Times New Roman"/>
      <w:b/>
      <w:bCs/>
      <w:lang w:val="en-GB" w:eastAsia="ja-JP"/>
    </w:rPr>
  </w:style>
  <w:style w:type="character" w:customStyle="1" w:styleId="125">
    <w:name w:val="文档结构图 Char"/>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Char"/>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6"/>
    <w:link w:val="131"/>
    <w:qFormat/>
    <w:uiPriority w:val="0"/>
    <w:pPr>
      <w:ind w:left="3119"/>
    </w:pPr>
  </w:style>
  <w:style w:type="character" w:customStyle="1" w:styleId="131">
    <w:name w:val="B10 Char"/>
    <w:basedOn w:val="117"/>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6"/>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Char"/>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出段落 Char"/>
    <w:link w:val="146"/>
    <w:qFormat/>
    <w:uiPriority w:val="34"/>
    <w:rPr>
      <w:rFonts w:ascii="Times New Roman" w:hAnsi="Times New Roman" w:eastAsia="Times New Roman"/>
      <w:lang w:val="en-GB" w:eastAsia="ja-JP"/>
    </w:rPr>
  </w:style>
  <w:style w:type="character" w:customStyle="1" w:styleId="148">
    <w:name w:val="正文文本 3 Char"/>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6"/>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20"/>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FECDC-3DC9-464C-A30B-795EEA4C06B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461</Words>
  <Characters>2632</Characters>
  <Lines>21</Lines>
  <Paragraphs>6</Paragraphs>
  <TotalTime>5</TotalTime>
  <ScaleCrop>false</ScaleCrop>
  <LinksUpToDate>false</LinksUpToDate>
  <CharactersWithSpaces>3087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2025-08-19T02:12:00Z</dcterms:created>
  <dc:creator>Michael Sanders, John M Meredith</dc:creator>
  <cp:lastModifiedBy>ZTE</cp:lastModifiedBy>
  <cp:lastPrinted>1900-12-31T16:00:00Z</cp:lastPrinted>
  <dcterms:modified xsi:type="dcterms:W3CDTF">2025-08-20T02:12:26Z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6485B2D49FB14227A274BCA2AA026778</vt:lpwstr>
  </property>
</Properties>
</file>